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7C" w:rsidRPr="00A7367C" w:rsidRDefault="00A7367C" w:rsidP="00A7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A7367C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8</w:t>
      </w:r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(34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5</w:t>
      </w:r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A7367C" w:rsidRPr="00A7367C" w:rsidRDefault="00A7367C" w:rsidP="00A7367C">
      <w:pPr>
        <w:pStyle w:val="af"/>
        <w:numPr>
          <w:ilvl w:val="0"/>
          <w:numId w:val="8"/>
        </w:numPr>
        <w:tabs>
          <w:tab w:val="left" w:pos="9180"/>
        </w:tabs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августа</w:t>
      </w:r>
      <w:r w:rsidRPr="00A7367C">
        <w:rPr>
          <w:rFonts w:ascii="Times New Roman" w:eastAsia="Calibri" w:hAnsi="Times New Roman" w:cs="Times New Roman"/>
        </w:rPr>
        <w:t xml:space="preserve">  2024 г</w:t>
      </w:r>
    </w:p>
    <w:p w:rsidR="006016B9" w:rsidRDefault="006016B9" w:rsidP="00CF76E8">
      <w:pPr>
        <w:rPr>
          <w:rFonts w:cs="Calibri"/>
          <w:noProof/>
        </w:rPr>
      </w:pPr>
    </w:p>
    <w:p w:rsidR="00A7367C" w:rsidRDefault="00A7367C" w:rsidP="00A7367C">
      <w:pPr>
        <w:autoSpaceDE w:val="0"/>
        <w:autoSpaceDN w:val="0"/>
        <w:adjustRightInd w:val="0"/>
        <w:spacing w:after="0"/>
        <w:ind w:firstLine="709"/>
        <w:rPr>
          <w:rFonts w:ascii="Segoe UI" w:hAnsi="Segoe UI" w:cs="Segoe UI"/>
          <w:b/>
          <w:noProof/>
          <w:sz w:val="28"/>
        </w:rPr>
      </w:pPr>
      <w:r>
        <w:rPr>
          <w:noProof/>
          <w:lang w:eastAsia="ru-RU"/>
        </w:rPr>
        <w:drawing>
          <wp:inline distT="0" distB="0" distL="0" distR="0" wp14:anchorId="1A4AC8BC" wp14:editId="42039A5B">
            <wp:extent cx="1748367" cy="74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48367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91318A">
        <w:rPr>
          <w:rFonts w:ascii="Segoe UI" w:hAnsi="Segoe UI" w:cs="Segoe UI"/>
          <w:b/>
          <w:noProof/>
          <w:sz w:val="28"/>
        </w:rPr>
        <w:t xml:space="preserve">Новосибирский Росреестр: результаты  профилактических мероприятий в надзорной деятельности 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91318A">
        <w:rPr>
          <w:rFonts w:ascii="Segoe UI" w:hAnsi="Segoe UI" w:cs="Segoe UI"/>
          <w:b/>
          <w:noProof/>
          <w:sz w:val="28"/>
        </w:rPr>
        <w:t>за первое полугодие 2024 года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2024 году специалистами новосибирского </w:t>
      </w:r>
      <w:proofErr w:type="spellStart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продолжается профилактическая работа по предупреждению нарушений обязательных требований земельного законодательства, законодательства о геодезии и картографии.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Утверждены специальные программы профилактики рисков причинения вреда (ущерба) охраняемым законом ценностям.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1 полугодии 2024 года в регионе проведено 1349 мероприятий для подконтрольных субъектов. 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целях повышения эффективности надзорной деятельности в сфере земельного законодательства состоялось 23 совместных мероприятия с органами местного самоуправления.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Проведено 232 консультации для подконтрольных субъектов о профилактике нарушений обязательных требований земельного законодательства и законодательства в сфере лицензирования геодезической и картографической деятельности. 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отношении контролируемых лиц проведено более 60 профилактических визитов в форме профилактической беседы, информирования об обязательных требованиях, которые предъявляются к принадлежащим им объектам или к их деятельности.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В рамках государственного земельного надзора объявлено 628 предостережений о недопустимости нарушения требований земельного законодательства.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Осуществлялось публичное информирование посредством официального сайта </w:t>
      </w:r>
      <w:proofErr w:type="spellStart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средств массовой информации – в городе и районах области опубликовано более 200 материалов. 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 вопросам организации и проведения проверок, соблюдения требований законодательства при осуществлении государственного контроля (надзора) руководством новосибирского </w:t>
      </w:r>
      <w:proofErr w:type="spellStart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проведено более 20 личных приемов.</w:t>
      </w:r>
    </w:p>
    <w:p w:rsidR="00ED5E89" w:rsidRPr="0091318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Результаты профилактических мероприятий оценивают сами подконтрольные субъекты. Полученные показатели свидетельствуют об </w:t>
      </w:r>
      <w:proofErr w:type="gramStart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информированности</w:t>
      </w:r>
      <w:proofErr w:type="gramEnd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об обязательных требованиях законодательства, их понятности, доступности информации об изменениях обязательных требований, удовлетворенности проведенными профилактическими визитами.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Информация о проведении профилактических мероприятий по каждому виду контроля (надзора) размещена в региональном блоке Управления на официальном сайте </w:t>
      </w:r>
      <w:proofErr w:type="spellStart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547BAD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https://rosreestr.gov.ru</w:t>
        </w:r>
      </w:hyperlink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91318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разделе «Открытая служба/Проведение проверок».</w:t>
      </w:r>
    </w:p>
    <w:p w:rsidR="00ED5E89" w:rsidRPr="0015343B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054B41">
        <w:rPr>
          <w:rFonts w:ascii="Segoe UI" w:hAnsi="Segoe UI" w:cs="Segoe UI"/>
          <w:b/>
          <w:noProof/>
          <w:sz w:val="28"/>
        </w:rPr>
        <w:t>«Земля для стройки»: в Новосибирской области выявлено около 3 тыс. га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Свыше 400 земельных участков, свободных для жилищного строительства, выявлено в Новосибирской области. Их общая площадь составляет 2,8 тысяч гектаров.</w:t>
      </w: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«Земля для стройки» - проект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который стартовал в 2021 году и направлен на улучшение жилищных условий граждан. Проект входит в государственную программу «Национальная система пространственных данных». Создание этой цифровой платформы </w:t>
      </w: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включено в перечень инициатив социально-экономического развития до 2030 года.</w:t>
      </w: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«За первое полугодие 2024 года в регионе выявлено 177 земельных участков площадью 647 гектаров для индивидуального жилищного строительства и 242 земельных участка общей площадью 2150 гектаров для строительства многоквартирных домов,</w:t>
      </w: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- сообщила руководитель Управления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</w:t>
      </w:r>
      <w:r w:rsidRPr="00054B4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Светлана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Рягузова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– </w:t>
      </w:r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Это результат совместной работы </w:t>
      </w:r>
      <w:proofErr w:type="gramStart"/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новосибирского</w:t>
      </w:r>
      <w:proofErr w:type="gramEnd"/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Росреестра</w:t>
      </w:r>
      <w:proofErr w:type="spellEnd"/>
      <w:r w:rsidRPr="00054B41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и региональных органов власти»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Свободные для жилищного строительства участки выявлены в городе Новосибирске, городах Бердск,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Искитим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Обь, а также в девяти районах области: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Барабинский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Искитимский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Карасукский, Куйбышевский, Новосибирский, Ордынский, Северный,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Черепановский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Чулымский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Наибольшее количество участков, подходящих для жилищного строительства, выявлено в Новосибирске и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Черепановском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районе области.</w:t>
      </w: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Подать заявление для получения земельного участка можно с помощью сервиса, размещённого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на </w:t>
      </w:r>
      <w:hyperlink r:id="rId10" w:history="1">
        <w:r w:rsidRPr="00054B41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публичной кадастровой карте</w:t>
        </w:r>
      </w:hyperlink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 Это удобно как для инвесторов и застройщиков, так и для граждан, которые хотят построить частный дом.</w:t>
      </w:r>
    </w:p>
    <w:p w:rsidR="00ED5E89" w:rsidRPr="00054B4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gram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Из 419 выявленных в Новосибирске и Новосибирской области земельных участков вовлечено 69, из них на 31 участке уже идет строительство индивидуальных жилые домов и на 38 участках – многоквартирных домов.</w:t>
      </w:r>
      <w:proofErr w:type="gramEnd"/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целом по стране по реализуемому </w:t>
      </w:r>
      <w:proofErr w:type="spellStart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054B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проекту «Земля для стройки» выявлено порядка 112 тыс. земельных участков и территорий для жилищного строительства, их общая площадь составляет 170,6 тыс. га. Сибирский федеральный округ вошел в число лидеров по площади выявленных земель.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Default="00ED5E89" w:rsidP="00623822">
      <w:pPr>
        <w:jc w:val="right"/>
        <w:rPr>
          <w:rFonts w:cs="Calibri"/>
          <w:b/>
          <w:noProof/>
          <w:color w:val="007DFF"/>
          <w:sz w:val="32"/>
        </w:rPr>
      </w:pP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2B7CB0">
        <w:rPr>
          <w:rFonts w:ascii="Segoe UI" w:hAnsi="Segoe UI" w:cs="Segoe UI"/>
          <w:b/>
          <w:noProof/>
          <w:sz w:val="28"/>
        </w:rPr>
        <w:lastRenderedPageBreak/>
        <w:t>Проверить подлинность выписки из ЕГРН можно с помощью QR-кода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ED5E89" w:rsidRPr="002B7CB0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 начала 2024 года новосибирским </w:t>
      </w:r>
      <w:proofErr w:type="spellStart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Роскадастром</w:t>
      </w:r>
      <w:proofErr w:type="spellEnd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выдано около 1,5 </w:t>
      </w:r>
      <w:proofErr w:type="gramStart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млн</w:t>
      </w:r>
      <w:proofErr w:type="gramEnd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выписок из реестра недвижимости. На всех видах выписок, вне зависимости от типа и формата ее получения, содержится QR-код в правом верхнем углу.</w:t>
      </w:r>
    </w:p>
    <w:p w:rsidR="00ED5E89" w:rsidRPr="002B7CB0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gramStart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</w:t>
      </w:r>
      <w:hyperlink r:id="rId11" w:history="1">
        <w:proofErr w:type="spellStart"/>
        <w:r w:rsidRPr="002B7CB0">
          <w:rPr>
            <w:rStyle w:val="a3"/>
            <w:rFonts w:ascii="Segoe UI" w:eastAsia="Times New Roman" w:hAnsi="Segoe UI" w:cs="Segoe UI"/>
            <w:bCs/>
            <w:sz w:val="28"/>
            <w:szCs w:val="28"/>
            <w:lang w:eastAsia="ru-RU"/>
          </w:rPr>
          <w:t>Росреестра</w:t>
        </w:r>
        <w:proofErr w:type="spellEnd"/>
      </w:hyperlink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 </w:t>
      </w:r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подтверждения подлинности сведений в выписке либо их опровержения.</w:t>
      </w:r>
      <w:proofErr w:type="gramEnd"/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Нововведение реализовано </w:t>
      </w:r>
      <w:proofErr w:type="spellStart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2B7CB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</w:t>
      </w:r>
    </w:p>
    <w:p w:rsidR="00ED5E89" w:rsidRPr="002B7CB0" w:rsidRDefault="00ED5E89" w:rsidP="00ED5E89">
      <w:pPr>
        <w:spacing w:after="0"/>
        <w:ind w:firstLine="709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Напомним, заказать выписку из ЕГРН можно в бумажном виде в любом офисе </w:t>
      </w:r>
      <w:hyperlink r:id="rId12" w:history="1">
        <w:r w:rsidRPr="002B7CB0">
          <w:rPr>
            <w:rStyle w:val="a3"/>
            <w:rFonts w:ascii="Segoe UI" w:eastAsia="Times New Roman" w:hAnsi="Segoe UI" w:cs="Segoe UI"/>
            <w:bCs/>
            <w:sz w:val="28"/>
            <w:szCs w:val="28"/>
            <w:lang w:eastAsia="ru-RU"/>
          </w:rPr>
          <w:t>МФЦ</w:t>
        </w:r>
      </w:hyperlink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 или в электронном виде на портале </w:t>
      </w:r>
      <w:hyperlink r:id="rId13" w:history="1">
        <w:proofErr w:type="spellStart"/>
        <w:r w:rsidRPr="002B7CB0">
          <w:rPr>
            <w:rStyle w:val="a3"/>
            <w:rFonts w:ascii="Segoe UI" w:eastAsia="Times New Roman" w:hAnsi="Segoe UI" w:cs="Segoe UI"/>
            <w:bCs/>
            <w:sz w:val="28"/>
            <w:szCs w:val="28"/>
            <w:lang w:eastAsia="ru-RU"/>
          </w:rPr>
          <w:t>Госуслуг</w:t>
        </w:r>
        <w:proofErr w:type="spellEnd"/>
      </w:hyperlink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>. Кроме того, запросить сведения ЕГРН можно в рамках выездного обслуживания филиала ППК «</w:t>
      </w:r>
      <w:proofErr w:type="spellStart"/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>Роскадастр</w:t>
      </w:r>
      <w:proofErr w:type="spellEnd"/>
      <w:r w:rsidRPr="002B7CB0">
        <w:rPr>
          <w:rFonts w:ascii="Segoe UI" w:eastAsia="Times New Roman" w:hAnsi="Segoe UI" w:cs="Segoe UI"/>
          <w:bCs/>
          <w:sz w:val="28"/>
          <w:szCs w:val="28"/>
          <w:lang w:eastAsia="ru-RU"/>
        </w:rPr>
        <w:t>» по Новосибирской области. Информация по телефону: 8 (383) 349-95-69, доб.3.</w:t>
      </w:r>
    </w:p>
    <w:p w:rsidR="00ED5E89" w:rsidRPr="002B7CB0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филиалом 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»</w:t>
      </w:r>
    </w:p>
    <w:p w:rsid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Default="00ED5E89" w:rsidP="00623822">
      <w:pPr>
        <w:jc w:val="right"/>
        <w:rPr>
          <w:rFonts w:cs="Calibri"/>
          <w:b/>
          <w:noProof/>
          <w:color w:val="007DFF"/>
          <w:sz w:val="32"/>
        </w:rPr>
      </w:pPr>
    </w:p>
    <w:p w:rsidR="00ED5E89" w:rsidRPr="0049237A" w:rsidRDefault="00ED5E89" w:rsidP="00ED5E89">
      <w:pPr>
        <w:pStyle w:val="ab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ED5E89" w:rsidRDefault="00ED5E89" w:rsidP="00ED5E89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D5E89" w:rsidRPr="00D231A1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1</w:t>
      </w:r>
      <w:r w:rsidRPr="00D231A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</w:t>
      </w:r>
      <w:r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августа</w:t>
      </w:r>
      <w:r w:rsidRPr="00D231A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2024 года с 14:00 до 15:00 </w:t>
      </w:r>
      <w:proofErr w:type="spellStart"/>
      <w:r w:rsidRPr="00D231A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D231A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совместно с МФЦ бесплатно проводятся консультации:</w:t>
      </w:r>
    </w:p>
    <w:p w:rsidR="00ED5E89" w:rsidRPr="00623822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«Площадь Труда», площадь Труда, 1</w:t>
      </w:r>
    </w:p>
    <w:p w:rsidR="00ED5E89" w:rsidRPr="00623822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ED5E89" w:rsidRPr="00623822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- г. Бердск, МФЦ г. Бердска, Радужный </w:t>
      </w:r>
      <w:proofErr w:type="gramStart"/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м-н</w:t>
      </w:r>
      <w:proofErr w:type="gramEnd"/>
      <w:r w:rsidRPr="0062382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7, корп. 1 </w:t>
      </w:r>
    </w:p>
    <w:p w:rsidR="00ED5E89" w:rsidRPr="0049237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«Час </w:t>
      </w:r>
      <w:proofErr w:type="spellStart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 МФЦ» - консультации специалистов </w:t>
      </w:r>
      <w:proofErr w:type="gramStart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регионального</w:t>
      </w:r>
      <w:proofErr w:type="gramEnd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которые проводятся каждый четверг с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14:00 до 15:00 в филиалах МФЦ.</w:t>
      </w:r>
    </w:p>
    <w:p w:rsidR="00ED5E89" w:rsidRPr="0049237A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Справочная </w:t>
      </w:r>
      <w:proofErr w:type="spellStart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: 8 800 100 34 34.</w:t>
      </w:r>
    </w:p>
    <w:p w:rsidR="00ED5E89" w:rsidRDefault="00ED5E89" w:rsidP="00ED5E89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D5E89" w:rsidRPr="006D233B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Pr="00141714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ED5E89" w:rsidRDefault="00ED5E89" w:rsidP="00623822">
      <w:pPr>
        <w:jc w:val="right"/>
        <w:rPr>
          <w:rFonts w:cs="Calibri"/>
          <w:b/>
          <w:noProof/>
          <w:color w:val="007DFF"/>
          <w:sz w:val="32"/>
        </w:rPr>
      </w:pP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eastAsia="Calibri" w:hAnsi="Segoe UI" w:cs="Segoe UI"/>
          <w:b/>
          <w:noProof/>
          <w:sz w:val="28"/>
        </w:rPr>
      </w:pPr>
      <w:r w:rsidRPr="00ED5E89">
        <w:rPr>
          <w:rFonts w:ascii="Segoe UI" w:eastAsia="Calibr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eastAsia="Calibri" w:hAnsi="Segoe UI" w:cs="Segoe UI"/>
          <w:b/>
          <w:noProof/>
          <w:sz w:val="28"/>
        </w:rPr>
      </w:pP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2024 году Управление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 таким документам относятся: 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свидетельства о праве (на право) собственности на землю; 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Правоудостоверяющие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документы часто </w:t>
      </w:r>
      <w:proofErr w:type="gram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бывают</w:t>
      </w:r>
      <w:proofErr w:type="gram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июле в администрации г.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Искитима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Доволенского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Куйбышевского,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Усть-Таркского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 Чистоозерного районов передана 61 тысяча документов на землю.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Теперь граждане и юридические лица могут получить копии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правоудостоверяющих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документов на ранее учтенные земельные участки г.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Искитима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Доволенского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Куйбышевского, </w:t>
      </w:r>
      <w:proofErr w:type="spellStart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Усть-Таркского</w:t>
      </w:r>
      <w:proofErr w:type="spellEnd"/>
      <w:r w:rsidRPr="00ED5E8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 Чистоозерного районов в органах местного самоуправления по месту их расположения.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Справочно: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ED5E89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31.07.2023 вступил в силу Федеральный закон, в соответствии с которым </w:t>
      </w:r>
      <w:proofErr w:type="spellStart"/>
      <w:r w:rsidRPr="00ED5E89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Росреестр</w:t>
      </w:r>
      <w:proofErr w:type="spellEnd"/>
      <w:r w:rsidRPr="00ED5E89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b/>
        </w:rPr>
      </w:pPr>
    </w:p>
    <w:p w:rsidR="00ED5E89" w:rsidRP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ED5E8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ED5E8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ED5E8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D5E89" w:rsidRPr="00ED5E89" w:rsidRDefault="00ED5E89" w:rsidP="00ED5E8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ED5E8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по Новосибирской области </w:t>
      </w:r>
    </w:p>
    <w:p w:rsidR="00ED5E89" w:rsidRPr="00522B42" w:rsidRDefault="00ED5E89" w:rsidP="00623822">
      <w:pPr>
        <w:jc w:val="right"/>
        <w:rPr>
          <w:rFonts w:cs="Calibri"/>
          <w:b/>
          <w:noProof/>
          <w:color w:val="007DFF"/>
          <w:sz w:val="32"/>
        </w:rPr>
      </w:pPr>
    </w:p>
    <w:p w:rsidR="003E2778" w:rsidRDefault="00757027" w:rsidP="00757027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75702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Итоги горячей телефонной линии по вопросам догазификации на землях СНТ</w:t>
      </w:r>
    </w:p>
    <w:p w:rsidR="00757027" w:rsidRDefault="00757027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57027" w:rsidRPr="00757027" w:rsidRDefault="00757027" w:rsidP="00757027">
      <w:pPr>
        <w:autoSpaceDE w:val="0"/>
        <w:autoSpaceDN w:val="0"/>
        <w:adjustRightInd w:val="0"/>
        <w:spacing w:after="0"/>
        <w:ind w:firstLine="708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31 июля </w:t>
      </w:r>
      <w:proofErr w:type="gram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новосибирский</w:t>
      </w:r>
      <w:proofErr w:type="gram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провел «горячую» телефонную линию по вопросам </w:t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догазификации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домов, расположенных на землях садоводческих некоммерческих товариществ (СНТ).</w:t>
      </w: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  <w:t xml:space="preserve">Тема </w:t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догазификации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СНТ актуальна для жителей Новосибирской области. В рамках телефонной линии даны консультации 20 гражданам.</w:t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  <w:t xml:space="preserve">Как узнать, что СНТ подпадает под программу </w:t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догазификации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стал самым популярным для новосибирцев.</w:t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  <w:t xml:space="preserve">Ознакомится с подробными условиями программы газификации, проверить, подпадает ли населенный пункт под программу, можно на официальном сайте Единого оператора газификации </w:t>
      </w:r>
      <w:hyperlink r:id="rId14" w:history="1">
        <w:r w:rsidRPr="000F038A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https://connectgas.ru</w:t>
        </w:r>
      </w:hyperlink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разработаны подробные методические рекомендации, которые помогут садоводам разобраться в перечне </w:t>
      </w:r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необходимых документов. </w:t>
      </w:r>
      <w:proofErr w:type="gram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Ознакомится</w:t>
      </w:r>
      <w:proofErr w:type="gram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 рекомендациями </w:t>
      </w:r>
      <w:proofErr w:type="spellStart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можно </w:t>
      </w:r>
      <w:hyperlink r:id="rId15" w:history="1">
        <w:r w:rsidRPr="00757027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здесь</w:t>
        </w:r>
      </w:hyperlink>
      <w:r w:rsidRPr="0075702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49237A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757027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Газификация в СНТ: </w:t>
      </w:r>
      <w:hyperlink r:id="rId16" w:history="1">
        <w:r w:rsidRPr="00757027">
          <w:rPr>
            <w:rStyle w:val="a3"/>
            <w:rFonts w:ascii="Segoe UI" w:eastAsia="Times New Roman" w:hAnsi="Segoe UI" w:cs="Segoe UI"/>
            <w:i/>
            <w:sz w:val="28"/>
            <w:szCs w:val="28"/>
            <w:lang w:eastAsia="ru-RU"/>
          </w:rPr>
          <w:t xml:space="preserve">советы </w:t>
        </w:r>
        <w:proofErr w:type="spellStart"/>
        <w:r w:rsidRPr="00757027">
          <w:rPr>
            <w:rStyle w:val="a3"/>
            <w:rFonts w:ascii="Segoe UI" w:eastAsia="Times New Roman" w:hAnsi="Segoe UI" w:cs="Segoe UI"/>
            <w:i/>
            <w:sz w:val="28"/>
            <w:szCs w:val="28"/>
            <w:lang w:eastAsia="ru-RU"/>
          </w:rPr>
          <w:t>Росреестра</w:t>
        </w:r>
        <w:proofErr w:type="spellEnd"/>
        <w:r w:rsidRPr="00757027">
          <w:rPr>
            <w:rStyle w:val="a3"/>
            <w:rFonts w:ascii="Segoe UI" w:eastAsia="Times New Roman" w:hAnsi="Segoe UI" w:cs="Segoe UI"/>
            <w:i/>
            <w:sz w:val="28"/>
            <w:szCs w:val="28"/>
            <w:lang w:eastAsia="ru-RU"/>
          </w:rPr>
          <w:t xml:space="preserve"> садоводам</w:t>
        </w:r>
      </w:hyperlink>
      <w:r w:rsidRPr="00757027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. </w:t>
      </w:r>
    </w:p>
    <w:p w:rsidR="00757027" w:rsidRPr="00757027" w:rsidRDefault="00757027" w:rsidP="00757027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621E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0287B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DB14D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7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8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097C70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9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20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21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22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bookmarkStart w:id="0" w:name="_GoBack"/>
      <w:bookmarkEnd w:id="0"/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7367C" w:rsidRPr="00A7367C" w:rsidRDefault="00A7367C" w:rsidP="00A736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7367C" w:rsidRPr="00A7367C" w:rsidRDefault="00A7367C" w:rsidP="00A7367C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7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A7367C" w:rsidRPr="00A7367C" w:rsidRDefault="00A7367C" w:rsidP="00A7367C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A7367C" w:rsidRPr="00726E22" w:rsidRDefault="00A7367C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sectPr w:rsidR="00A7367C" w:rsidRPr="00726E22" w:rsidSect="004670F5">
      <w:headerReference w:type="even" r:id="rId23"/>
      <w:footerReference w:type="default" r:id="rId2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D5" w:rsidRDefault="00DB14D5" w:rsidP="00747FDB">
      <w:pPr>
        <w:spacing w:after="0" w:line="240" w:lineRule="auto"/>
      </w:pPr>
      <w:r>
        <w:separator/>
      </w:r>
    </w:p>
  </w:endnote>
  <w:endnote w:type="continuationSeparator" w:id="0">
    <w:p w:rsidR="00DB14D5" w:rsidRDefault="00DB14D5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842784"/>
      <w:docPartObj>
        <w:docPartGallery w:val="Page Numbers (Bottom of Page)"/>
        <w:docPartUnique/>
      </w:docPartObj>
    </w:sdtPr>
    <w:sdtContent>
      <w:p w:rsidR="00A7367C" w:rsidRDefault="00A736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7367C" w:rsidRDefault="00A73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D5" w:rsidRDefault="00DB14D5" w:rsidP="00747FDB">
      <w:pPr>
        <w:spacing w:after="0" w:line="240" w:lineRule="auto"/>
      </w:pPr>
      <w:r>
        <w:separator/>
      </w:r>
    </w:p>
  </w:footnote>
  <w:footnote w:type="continuationSeparator" w:id="0">
    <w:p w:rsidR="00DB14D5" w:rsidRDefault="00DB14D5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27935"/>
    <w:multiLevelType w:val="hybridMultilevel"/>
    <w:tmpl w:val="0836743A"/>
    <w:lvl w:ilvl="0" w:tplc="A29A9560">
      <w:start w:val="8"/>
      <w:numFmt w:val="decimalZero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456E4"/>
    <w:multiLevelType w:val="hybridMultilevel"/>
    <w:tmpl w:val="A03A3BA6"/>
    <w:lvl w:ilvl="0" w:tplc="494A1F2E">
      <w:start w:val="2"/>
      <w:numFmt w:val="decimalZero"/>
      <w:lvlText w:val="%1"/>
      <w:lvlJc w:val="left"/>
      <w:pPr>
        <w:ind w:left="7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15936"/>
    <w:rsid w:val="00033479"/>
    <w:rsid w:val="0003433D"/>
    <w:rsid w:val="00065A63"/>
    <w:rsid w:val="00071EA2"/>
    <w:rsid w:val="00073353"/>
    <w:rsid w:val="000809D9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1F1D9E"/>
    <w:rsid w:val="00203E51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9237A"/>
    <w:rsid w:val="004B46E3"/>
    <w:rsid w:val="004E5606"/>
    <w:rsid w:val="00522B42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23822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433C"/>
    <w:rsid w:val="00726E22"/>
    <w:rsid w:val="00742794"/>
    <w:rsid w:val="00747FDB"/>
    <w:rsid w:val="00757027"/>
    <w:rsid w:val="00770C98"/>
    <w:rsid w:val="007739AC"/>
    <w:rsid w:val="00785807"/>
    <w:rsid w:val="007A1A9E"/>
    <w:rsid w:val="007B2542"/>
    <w:rsid w:val="007C0523"/>
    <w:rsid w:val="0080229B"/>
    <w:rsid w:val="00810793"/>
    <w:rsid w:val="0083407C"/>
    <w:rsid w:val="00836E3C"/>
    <w:rsid w:val="008C6DC0"/>
    <w:rsid w:val="008C76F5"/>
    <w:rsid w:val="008D379F"/>
    <w:rsid w:val="008F413B"/>
    <w:rsid w:val="009001A5"/>
    <w:rsid w:val="00901983"/>
    <w:rsid w:val="009058C7"/>
    <w:rsid w:val="00907414"/>
    <w:rsid w:val="00967E00"/>
    <w:rsid w:val="00991C84"/>
    <w:rsid w:val="009C110A"/>
    <w:rsid w:val="009D14BC"/>
    <w:rsid w:val="00A00B04"/>
    <w:rsid w:val="00A05899"/>
    <w:rsid w:val="00A417DB"/>
    <w:rsid w:val="00A46E27"/>
    <w:rsid w:val="00A7179D"/>
    <w:rsid w:val="00A7367C"/>
    <w:rsid w:val="00A75EE8"/>
    <w:rsid w:val="00A76C6B"/>
    <w:rsid w:val="00A87EA1"/>
    <w:rsid w:val="00A9267D"/>
    <w:rsid w:val="00AA2407"/>
    <w:rsid w:val="00AA59B6"/>
    <w:rsid w:val="00AB181D"/>
    <w:rsid w:val="00AC6D9F"/>
    <w:rsid w:val="00AE6549"/>
    <w:rsid w:val="00AF27ED"/>
    <w:rsid w:val="00B11B3D"/>
    <w:rsid w:val="00B76C9B"/>
    <w:rsid w:val="00B807E1"/>
    <w:rsid w:val="00BB4775"/>
    <w:rsid w:val="00BB6423"/>
    <w:rsid w:val="00BD03AA"/>
    <w:rsid w:val="00BF5FF5"/>
    <w:rsid w:val="00C024DF"/>
    <w:rsid w:val="00C028C8"/>
    <w:rsid w:val="00C33928"/>
    <w:rsid w:val="00C47D80"/>
    <w:rsid w:val="00C66274"/>
    <w:rsid w:val="00C80194"/>
    <w:rsid w:val="00CA3F4D"/>
    <w:rsid w:val="00CE1BF2"/>
    <w:rsid w:val="00CF76E8"/>
    <w:rsid w:val="00D06BB4"/>
    <w:rsid w:val="00D17291"/>
    <w:rsid w:val="00D20B72"/>
    <w:rsid w:val="00D231A1"/>
    <w:rsid w:val="00D65C8A"/>
    <w:rsid w:val="00D9604A"/>
    <w:rsid w:val="00DA4574"/>
    <w:rsid w:val="00DA7F89"/>
    <w:rsid w:val="00DB14D5"/>
    <w:rsid w:val="00DD1B0C"/>
    <w:rsid w:val="00DE1EF3"/>
    <w:rsid w:val="00DE5CE2"/>
    <w:rsid w:val="00DF2633"/>
    <w:rsid w:val="00DF2C27"/>
    <w:rsid w:val="00E018D4"/>
    <w:rsid w:val="00E10065"/>
    <w:rsid w:val="00E21279"/>
    <w:rsid w:val="00E334AF"/>
    <w:rsid w:val="00E6331D"/>
    <w:rsid w:val="00E92F95"/>
    <w:rsid w:val="00EB0E09"/>
    <w:rsid w:val="00ED0AA3"/>
    <w:rsid w:val="00ED3003"/>
    <w:rsid w:val="00ED5E89"/>
    <w:rsid w:val="00EE2314"/>
    <w:rsid w:val="00F04CB2"/>
    <w:rsid w:val="00F21BF8"/>
    <w:rsid w:val="00F40EEE"/>
    <w:rsid w:val="00F44DDA"/>
    <w:rsid w:val="00F6719C"/>
    <w:rsid w:val="00F7512B"/>
    <w:rsid w:val="00F85B57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rosreestr.gov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zen.ru/rosreestr_n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mailto:oko@r54.rosreest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sreestr.gov.ru/press/archive/reg/gazifikatsiya-v-snt-sovety-rosreestra-sadovodam-/" TargetMode="External"/><Relationship Id="rId20" Type="http://schemas.openxmlformats.org/officeDocument/2006/relationships/hyperlink" Target="https://ok.ru/group/700000009878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open-service/obzor-zakonov-o-nedvizhimosti/shagi-dlya-dogazifikatsii-zhilykh-domov-v-snt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kk.rosreestr.ru/" TargetMode="External"/><Relationship Id="rId19" Type="http://schemas.openxmlformats.org/officeDocument/2006/relationships/hyperlink" Target="https://vk.com/rosreestr_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hyperlink" Target="https://connectgas.ru" TargetMode="External"/><Relationship Id="rId22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24</cp:revision>
  <cp:lastPrinted>2022-01-19T07:30:00Z</cp:lastPrinted>
  <dcterms:created xsi:type="dcterms:W3CDTF">2023-04-24T06:32:00Z</dcterms:created>
  <dcterms:modified xsi:type="dcterms:W3CDTF">2024-08-02T09:07:00Z</dcterms:modified>
</cp:coreProperties>
</file>